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A0" w:rsidRPr="001F6A40" w:rsidRDefault="005813A0" w:rsidP="005813A0">
      <w:pPr>
        <w:jc w:val="center"/>
        <w:rPr>
          <w:rFonts w:ascii="Georgia" w:hAnsi="Georgia"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2326005</wp:posOffset>
            </wp:positionH>
            <wp:positionV relativeFrom="paragraph">
              <wp:posOffset>3175</wp:posOffset>
            </wp:positionV>
            <wp:extent cx="1292225" cy="1292225"/>
            <wp:effectExtent l="0" t="0" r="3175" b="3175"/>
            <wp:wrapTight wrapText="bothSides">
              <wp:wrapPolygon edited="0">
                <wp:start x="0" y="0"/>
                <wp:lineTo x="0" y="21335"/>
                <wp:lineTo x="21335" y="21335"/>
                <wp:lineTo x="21335" y="0"/>
                <wp:lineTo x="0" y="0"/>
              </wp:wrapPolygon>
            </wp:wrapTight>
            <wp:docPr id="2" name="Picture 2" descr="udsymposium2021_eventLogo_de89d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dsymposium2021_eventLogo_de89d9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13A0" w:rsidRPr="001F6A40" w:rsidRDefault="005813A0" w:rsidP="005813A0">
      <w:pPr>
        <w:jc w:val="center"/>
        <w:rPr>
          <w:rFonts w:ascii="Georgia" w:hAnsi="Georgia"/>
        </w:rPr>
      </w:pPr>
    </w:p>
    <w:p w:rsidR="005813A0" w:rsidRPr="001F6A40" w:rsidRDefault="005813A0" w:rsidP="005813A0">
      <w:pPr>
        <w:jc w:val="center"/>
        <w:rPr>
          <w:rFonts w:ascii="Georgia" w:hAnsi="Georgia"/>
        </w:rPr>
      </w:pPr>
    </w:p>
    <w:p w:rsidR="005813A0" w:rsidRPr="001F6A40" w:rsidRDefault="005813A0" w:rsidP="005813A0">
      <w:pPr>
        <w:jc w:val="center"/>
        <w:rPr>
          <w:rFonts w:ascii="Georgia" w:hAnsi="Georgia"/>
        </w:rPr>
      </w:pPr>
    </w:p>
    <w:p w:rsidR="005813A0" w:rsidRDefault="005813A0" w:rsidP="005813A0">
      <w:pPr>
        <w:rPr>
          <w:rFonts w:ascii="Georgia" w:hAnsi="Georgia"/>
        </w:rPr>
      </w:pPr>
    </w:p>
    <w:p w:rsidR="005813A0" w:rsidRPr="001F6A40" w:rsidRDefault="005813A0" w:rsidP="005813A0">
      <w:pPr>
        <w:rPr>
          <w:rFonts w:ascii="Georgia" w:hAnsi="Georgia"/>
        </w:rPr>
      </w:pPr>
    </w:p>
    <w:p w:rsidR="005813A0" w:rsidRPr="001F6A40" w:rsidRDefault="005813A0" w:rsidP="005813A0">
      <w:pPr>
        <w:jc w:val="center"/>
        <w:rPr>
          <w:rFonts w:ascii="Georgia" w:hAnsi="Georgia"/>
          <w:sz w:val="44"/>
        </w:rPr>
      </w:pPr>
      <w:r w:rsidRPr="001F6A40">
        <w:rPr>
          <w:rFonts w:ascii="Georgia" w:hAnsi="Georgia"/>
          <w:sz w:val="44"/>
        </w:rPr>
        <w:t>University of Delaware</w:t>
      </w:r>
    </w:p>
    <w:p w:rsidR="005813A0" w:rsidRPr="00A84D10" w:rsidRDefault="005813A0" w:rsidP="005813A0">
      <w:pPr>
        <w:jc w:val="center"/>
        <w:rPr>
          <w:rFonts w:ascii="Georgia" w:hAnsi="Georgia"/>
          <w:b/>
          <w:sz w:val="44"/>
        </w:rPr>
      </w:pPr>
      <w:r>
        <w:rPr>
          <w:rFonts w:ascii="Georgia" w:hAnsi="Georgia"/>
          <w:b/>
          <w:sz w:val="44"/>
        </w:rPr>
        <w:t>Undergraduate Research Winter Showcase, Scholarly and Creative Works</w:t>
      </w:r>
    </w:p>
    <w:p w:rsidR="005813A0" w:rsidRPr="001F6A40" w:rsidRDefault="005813A0" w:rsidP="005813A0">
      <w:pPr>
        <w:jc w:val="center"/>
        <w:rPr>
          <w:rFonts w:ascii="Georgia" w:hAnsi="Georgia"/>
          <w:sz w:val="36"/>
        </w:rPr>
      </w:pPr>
      <w:r>
        <w:rPr>
          <w:rFonts w:ascii="Georgia" w:hAnsi="Georgia"/>
          <w:sz w:val="36"/>
        </w:rPr>
        <w:t>February 15, 2023</w:t>
      </w:r>
    </w:p>
    <w:p w:rsidR="005813A0" w:rsidRPr="001F6A40" w:rsidRDefault="005813A0" w:rsidP="005813A0">
      <w:pPr>
        <w:jc w:val="center"/>
        <w:rPr>
          <w:rFonts w:ascii="Georgia" w:hAnsi="Georgia"/>
        </w:rPr>
      </w:pPr>
    </w:p>
    <w:p w:rsidR="00D35DBE" w:rsidRDefault="005813A0" w:rsidP="00D35DBE">
      <w:pPr>
        <w:jc w:val="center"/>
        <w:rPr>
          <w:rFonts w:ascii="Georgia" w:hAnsi="Georgia"/>
        </w:rPr>
      </w:pPr>
      <w:r>
        <w:rPr>
          <w:rFonts w:ascii="Georgia" w:hAnsi="Georgia"/>
        </w:rPr>
        <w:t>Welcome to the Undergraduate Research Winter Showcase!</w:t>
      </w:r>
      <w:r w:rsidR="00437CF8">
        <w:rPr>
          <w:rFonts w:ascii="Georgia" w:hAnsi="Georgia"/>
        </w:rPr>
        <w:t xml:space="preserve"> Please find below a scheduled list of our wonderful presenters. </w:t>
      </w:r>
      <w:r>
        <w:rPr>
          <w:rFonts w:ascii="Georgia" w:hAnsi="Georgia"/>
        </w:rPr>
        <w:t xml:space="preserve"> Thank you for attending, and please take a boxed lunch at your own convenience.</w:t>
      </w:r>
    </w:p>
    <w:p w:rsidR="00D35DBE" w:rsidRDefault="00D35DBE" w:rsidP="00D35DBE">
      <w:pPr>
        <w:jc w:val="center"/>
        <w:rPr>
          <w:rFonts w:ascii="Georgia" w:hAnsi="Georgia"/>
        </w:rPr>
      </w:pPr>
    </w:p>
    <w:p w:rsidR="005813A0" w:rsidRPr="00D35DBE" w:rsidRDefault="005813A0" w:rsidP="00D35DBE">
      <w:pPr>
        <w:jc w:val="center"/>
        <w:rPr>
          <w:rFonts w:ascii="Georgia" w:hAnsi="Georgia"/>
        </w:rPr>
      </w:pPr>
      <w:r>
        <w:rPr>
          <w:rFonts w:ascii="Georgia" w:hAnsi="Georgia"/>
          <w:b/>
          <w:sz w:val="28"/>
          <w:u w:val="single"/>
        </w:rPr>
        <w:t>12:00-12:10: Introduction/Setting Up</w:t>
      </w:r>
    </w:p>
    <w:p w:rsidR="005813A0" w:rsidRDefault="005813A0" w:rsidP="005813A0">
      <w:pPr>
        <w:spacing w:after="0"/>
        <w:jc w:val="center"/>
        <w:rPr>
          <w:rFonts w:ascii="Georgia" w:hAnsi="Georgia"/>
          <w:b/>
          <w:sz w:val="28"/>
          <w:u w:val="single"/>
        </w:rPr>
      </w:pPr>
      <w:r>
        <w:rPr>
          <w:rFonts w:ascii="Georgia" w:hAnsi="Georgia"/>
          <w:b/>
          <w:sz w:val="28"/>
          <w:u w:val="single"/>
        </w:rPr>
        <w:t>12:15-12:35: 1</w:t>
      </w:r>
      <w:r w:rsidRPr="005813A0">
        <w:rPr>
          <w:rFonts w:ascii="Georgia" w:hAnsi="Georgia"/>
          <w:b/>
          <w:sz w:val="28"/>
          <w:u w:val="single"/>
          <w:vertAlign w:val="superscript"/>
        </w:rPr>
        <w:t>st</w:t>
      </w:r>
      <w:r>
        <w:rPr>
          <w:rFonts w:ascii="Georgia" w:hAnsi="Georgia"/>
          <w:b/>
          <w:sz w:val="28"/>
          <w:u w:val="single"/>
        </w:rPr>
        <w:t xml:space="preserve"> Lightning Talk</w:t>
      </w:r>
    </w:p>
    <w:p w:rsidR="005813A0" w:rsidRDefault="005813A0" w:rsidP="005813A0">
      <w:pPr>
        <w:spacing w:after="0"/>
        <w:jc w:val="center"/>
        <w:rPr>
          <w:rFonts w:ascii="Georgia" w:hAnsi="Georgia"/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5813A0" w:rsidRPr="00A17FC3" w:rsidTr="00C913EE">
        <w:tc>
          <w:tcPr>
            <w:tcW w:w="2335" w:type="dxa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Adam Bonar</w:t>
            </w:r>
          </w:p>
        </w:tc>
        <w:tc>
          <w:tcPr>
            <w:tcW w:w="7015" w:type="dxa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 xml:space="preserve">Assessing the Impact of Hyperglycemia and Dyslipidemia on the Endothelial </w:t>
            </w:r>
            <w:proofErr w:type="spellStart"/>
            <w:r w:rsidRPr="00D35DBE">
              <w:rPr>
                <w:rFonts w:ascii="Calibri Light" w:hAnsi="Calibri Light" w:cs="Calibri Light"/>
                <w:sz w:val="18"/>
                <w:szCs w:val="15"/>
              </w:rPr>
              <w:t>Glycocalyx</w:t>
            </w:r>
            <w:proofErr w:type="spellEnd"/>
            <w:r w:rsidRPr="00D35DBE">
              <w:rPr>
                <w:rFonts w:ascii="Calibri Light" w:hAnsi="Calibri Light" w:cs="Calibri Light"/>
                <w:sz w:val="18"/>
                <w:szCs w:val="15"/>
              </w:rPr>
              <w:t>: Expression of CD36 and Syndecan-1</w:t>
            </w:r>
          </w:p>
        </w:tc>
      </w:tr>
      <w:tr w:rsidR="005813A0" w:rsidRPr="00A17FC3" w:rsidTr="00C913EE">
        <w:tc>
          <w:tcPr>
            <w:tcW w:w="2335" w:type="dxa"/>
            <w:shd w:val="clear" w:color="auto" w:fill="D0CECE" w:themeFill="background2" w:themeFillShade="E6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Alexandra Schaffer</w:t>
            </w:r>
          </w:p>
        </w:tc>
        <w:tc>
          <w:tcPr>
            <w:tcW w:w="7015" w:type="dxa"/>
            <w:shd w:val="clear" w:color="auto" w:fill="D0CECE" w:themeFill="background2" w:themeFillShade="E6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proofErr w:type="spellStart"/>
            <w:r w:rsidRPr="00D35DBE">
              <w:rPr>
                <w:rFonts w:ascii="Calibri Light" w:hAnsi="Calibri Light" w:cs="Calibri Light"/>
                <w:sz w:val="18"/>
                <w:szCs w:val="15"/>
              </w:rPr>
              <w:t>Transgelin</w:t>
            </w:r>
            <w:proofErr w:type="spellEnd"/>
            <w:r w:rsidRPr="00D35DBE">
              <w:rPr>
                <w:rFonts w:ascii="Calibri Light" w:hAnsi="Calibri Light" w:cs="Calibri Light"/>
                <w:sz w:val="18"/>
                <w:szCs w:val="15"/>
              </w:rPr>
              <w:t xml:space="preserve"> and Alpha Smooth Muscle Actin Interactions in Lung and Aorta Cells</w:t>
            </w:r>
          </w:p>
        </w:tc>
      </w:tr>
      <w:tr w:rsidR="005813A0" w:rsidRPr="00A17FC3" w:rsidTr="00C913EE">
        <w:tc>
          <w:tcPr>
            <w:tcW w:w="2335" w:type="dxa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Laura Weinstein</w:t>
            </w:r>
          </w:p>
        </w:tc>
        <w:tc>
          <w:tcPr>
            <w:tcW w:w="7015" w:type="dxa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The Effect of Triton X-100 on PEG-PLGA Nanoparticles</w:t>
            </w:r>
          </w:p>
        </w:tc>
      </w:tr>
      <w:tr w:rsidR="005813A0" w:rsidRPr="00A17FC3" w:rsidTr="00C913EE">
        <w:tc>
          <w:tcPr>
            <w:tcW w:w="2335" w:type="dxa"/>
            <w:shd w:val="clear" w:color="auto" w:fill="D0CECE" w:themeFill="background2" w:themeFillShade="E6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 xml:space="preserve">Luke </w:t>
            </w:r>
            <w:proofErr w:type="spellStart"/>
            <w:r w:rsidRPr="00D35DBE">
              <w:rPr>
                <w:rFonts w:ascii="Calibri Light" w:hAnsi="Calibri Light" w:cs="Calibri Light"/>
                <w:sz w:val="18"/>
                <w:szCs w:val="15"/>
              </w:rPr>
              <w:t>Fracek</w:t>
            </w:r>
            <w:proofErr w:type="spellEnd"/>
          </w:p>
        </w:tc>
        <w:tc>
          <w:tcPr>
            <w:tcW w:w="7015" w:type="dxa"/>
            <w:shd w:val="clear" w:color="auto" w:fill="D0CECE" w:themeFill="background2" w:themeFillShade="E6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Testing RNA Polymerases for their Ability to Use NAD+, NADH as Non-Canonical Initiating Nucleotides</w:t>
            </w:r>
          </w:p>
        </w:tc>
      </w:tr>
      <w:tr w:rsidR="005813A0" w:rsidRPr="00A17FC3" w:rsidTr="00C913EE">
        <w:tc>
          <w:tcPr>
            <w:tcW w:w="2335" w:type="dxa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Qi Zhang</w:t>
            </w:r>
          </w:p>
        </w:tc>
        <w:tc>
          <w:tcPr>
            <w:tcW w:w="7015" w:type="dxa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Engineering Peptides and Hydrogels with Controlled Degradation for Biological Applications</w:t>
            </w:r>
          </w:p>
        </w:tc>
      </w:tr>
      <w:tr w:rsidR="005813A0" w:rsidRPr="00A17FC3" w:rsidTr="005813A0">
        <w:tc>
          <w:tcPr>
            <w:tcW w:w="2335" w:type="dxa"/>
            <w:shd w:val="clear" w:color="auto" w:fill="D0CECE" w:themeFill="background2" w:themeFillShade="E6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Shannon Rosen</w:t>
            </w:r>
          </w:p>
        </w:tc>
        <w:tc>
          <w:tcPr>
            <w:tcW w:w="7015" w:type="dxa"/>
            <w:shd w:val="clear" w:color="auto" w:fill="D0CECE" w:themeFill="background2" w:themeFillShade="E6"/>
          </w:tcPr>
          <w:p w:rsidR="005813A0" w:rsidRPr="00D35DBE" w:rsidRDefault="005813A0" w:rsidP="00C913EE">
            <w:pPr>
              <w:rPr>
                <w:rFonts w:ascii="Calibri Light" w:hAnsi="Calibri Light" w:cs="Calibri Light"/>
                <w:sz w:val="18"/>
                <w:szCs w:val="15"/>
              </w:rPr>
            </w:pPr>
            <w:r w:rsidRPr="00D35DBE">
              <w:rPr>
                <w:rFonts w:ascii="Calibri Light" w:hAnsi="Calibri Light" w:cs="Calibri Light"/>
                <w:sz w:val="18"/>
                <w:szCs w:val="15"/>
              </w:rPr>
              <w:t>Semi-Automated Intervertebral Disc Segmentations of Scoliotic Subjects</w:t>
            </w:r>
          </w:p>
        </w:tc>
      </w:tr>
    </w:tbl>
    <w:p w:rsidR="005813A0" w:rsidRDefault="005813A0" w:rsidP="005813A0">
      <w:pPr>
        <w:spacing w:after="0"/>
        <w:rPr>
          <w:rFonts w:ascii="Georgia" w:hAnsi="Georgia"/>
          <w:b/>
          <w:sz w:val="28"/>
          <w:u w:val="single"/>
        </w:rPr>
      </w:pPr>
    </w:p>
    <w:p w:rsidR="005813A0" w:rsidRDefault="005813A0" w:rsidP="005813A0">
      <w:pPr>
        <w:spacing w:after="0"/>
        <w:jc w:val="center"/>
        <w:rPr>
          <w:rFonts w:ascii="Georgia" w:hAnsi="Georgia"/>
          <w:b/>
          <w:sz w:val="28"/>
          <w:u w:val="single"/>
        </w:rPr>
      </w:pPr>
      <w:r>
        <w:rPr>
          <w:rFonts w:ascii="Georgia" w:hAnsi="Georgia"/>
          <w:b/>
          <w:sz w:val="28"/>
          <w:u w:val="single"/>
        </w:rPr>
        <w:t>12:40-1:00: 1</w:t>
      </w:r>
      <w:r w:rsidRPr="005813A0">
        <w:rPr>
          <w:rFonts w:ascii="Georgia" w:hAnsi="Georgia"/>
          <w:b/>
          <w:sz w:val="28"/>
          <w:u w:val="single"/>
          <w:vertAlign w:val="superscript"/>
        </w:rPr>
        <w:t>st</w:t>
      </w:r>
      <w:r>
        <w:rPr>
          <w:rFonts w:ascii="Georgia" w:hAnsi="Georgia"/>
          <w:b/>
          <w:sz w:val="28"/>
          <w:u w:val="single"/>
        </w:rPr>
        <w:t xml:space="preserve"> Poster Session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5813A0" w:rsidRPr="00A17FC3" w:rsidTr="00C913EE">
        <w:tc>
          <w:tcPr>
            <w:tcW w:w="2335" w:type="dxa"/>
          </w:tcPr>
          <w:p w:rsidR="005813A0" w:rsidRPr="00D35DBE" w:rsidRDefault="005813A0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Anoushka</w:t>
            </w:r>
            <w:proofErr w:type="spellEnd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Buddhikot</w:t>
            </w:r>
            <w:proofErr w:type="spellEnd"/>
          </w:p>
        </w:tc>
        <w:tc>
          <w:tcPr>
            <w:tcW w:w="7015" w:type="dxa"/>
          </w:tcPr>
          <w:p w:rsidR="005813A0" w:rsidRPr="00D35DBE" w:rsidRDefault="005813A0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Improving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Biocatalysis</w:t>
            </w:r>
            <w:proofErr w:type="spellEnd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 Techniques in the Synthesis of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Droxidopa</w:t>
            </w:r>
            <w:proofErr w:type="spellEnd"/>
          </w:p>
        </w:tc>
      </w:tr>
      <w:tr w:rsidR="005813A0" w:rsidRPr="00A17FC3" w:rsidTr="00D35DBE">
        <w:tc>
          <w:tcPr>
            <w:tcW w:w="2335" w:type="dxa"/>
            <w:shd w:val="clear" w:color="auto" w:fill="D0CECE" w:themeFill="background2" w:themeFillShade="E6"/>
          </w:tcPr>
          <w:p w:rsidR="005813A0" w:rsidRPr="00D35DBE" w:rsidRDefault="005813A0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Jan Ahmed</w:t>
            </w:r>
          </w:p>
        </w:tc>
        <w:tc>
          <w:tcPr>
            <w:tcW w:w="7015" w:type="dxa"/>
            <w:shd w:val="clear" w:color="auto" w:fill="D0CECE" w:themeFill="background2" w:themeFillShade="E6"/>
          </w:tcPr>
          <w:p w:rsidR="005813A0" w:rsidRPr="00D35DBE" w:rsidRDefault="005813A0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Expander Graph</w:t>
            </w:r>
          </w:p>
        </w:tc>
      </w:tr>
      <w:tr w:rsidR="005813A0" w:rsidRPr="00A17FC3" w:rsidTr="00C913EE">
        <w:tc>
          <w:tcPr>
            <w:tcW w:w="2335" w:type="dxa"/>
          </w:tcPr>
          <w:p w:rsidR="005813A0" w:rsidRPr="00D35DBE" w:rsidRDefault="005813A0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Alyson Molnar</w:t>
            </w:r>
          </w:p>
        </w:tc>
        <w:tc>
          <w:tcPr>
            <w:tcW w:w="7015" w:type="dxa"/>
          </w:tcPr>
          <w:p w:rsidR="005813A0" w:rsidRPr="00D35DBE" w:rsidRDefault="00B3274E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The Interactive Effects of Prenatal Substance Exposure and Maternal Nurturance on Infant Brain Morphology</w:t>
            </w:r>
          </w:p>
        </w:tc>
      </w:tr>
      <w:tr w:rsidR="005813A0" w:rsidRPr="00A17FC3" w:rsidTr="00C913EE">
        <w:trPr>
          <w:trHeight w:val="62"/>
        </w:trPr>
        <w:tc>
          <w:tcPr>
            <w:tcW w:w="2335" w:type="dxa"/>
            <w:shd w:val="clear" w:color="auto" w:fill="D0CECE" w:themeFill="background2" w:themeFillShade="E6"/>
          </w:tcPr>
          <w:p w:rsidR="005813A0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Caroline Bowers</w:t>
            </w:r>
          </w:p>
        </w:tc>
        <w:tc>
          <w:tcPr>
            <w:tcW w:w="7015" w:type="dxa"/>
            <w:shd w:val="clear" w:color="auto" w:fill="D0CECE" w:themeFill="background2" w:themeFillShade="E6"/>
          </w:tcPr>
          <w:p w:rsidR="005813A0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Examining the Tropic Ecology of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Clearnose</w:t>
            </w:r>
            <w:proofErr w:type="spellEnd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 Skates in Delaware Bay Using Stable Isotope Analysis</w:t>
            </w:r>
          </w:p>
        </w:tc>
      </w:tr>
      <w:tr w:rsidR="005813A0" w:rsidRPr="00A17FC3" w:rsidTr="00C913EE">
        <w:tc>
          <w:tcPr>
            <w:tcW w:w="2335" w:type="dxa"/>
          </w:tcPr>
          <w:p w:rsidR="005813A0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Daniel Sweeney</w:t>
            </w:r>
          </w:p>
        </w:tc>
        <w:tc>
          <w:tcPr>
            <w:tcW w:w="7015" w:type="dxa"/>
          </w:tcPr>
          <w:p w:rsidR="005813A0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The Stigmatizing Effects of Catholicism on the  Understanding and Expression of Homosexuality Among Emerging Adult Men</w:t>
            </w:r>
          </w:p>
        </w:tc>
      </w:tr>
      <w:tr w:rsidR="00437CF8" w:rsidRPr="00A17FC3" w:rsidTr="00D35DBE">
        <w:tc>
          <w:tcPr>
            <w:tcW w:w="233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Dhvanil</w:t>
            </w:r>
            <w:proofErr w:type="spellEnd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 Patel</w:t>
            </w:r>
          </w:p>
        </w:tc>
        <w:tc>
          <w:tcPr>
            <w:tcW w:w="7015" w:type="dxa"/>
            <w:shd w:val="clear" w:color="auto" w:fill="D0CECE" w:themeFill="background2" w:themeFillShade="E6"/>
          </w:tcPr>
          <w:p w:rsidR="00437CF8" w:rsidRPr="00D35DBE" w:rsidRDefault="00B3274E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Constructing a </w:t>
            </w:r>
            <w:proofErr w:type="spellStart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Heterostructure</w:t>
            </w:r>
            <w:proofErr w:type="spellEnd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 from MoS2 and Fe5GeTe2 Monolayers</w:t>
            </w:r>
          </w:p>
        </w:tc>
      </w:tr>
      <w:tr w:rsidR="00437CF8" w:rsidRPr="00A17FC3" w:rsidTr="00C913EE">
        <w:tc>
          <w:tcPr>
            <w:tcW w:w="233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Eliana Schulman</w:t>
            </w:r>
          </w:p>
        </w:tc>
        <w:tc>
          <w:tcPr>
            <w:tcW w:w="701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</w:tr>
      <w:tr w:rsidR="00437CF8" w:rsidRPr="00A17FC3" w:rsidTr="00D35DBE">
        <w:tc>
          <w:tcPr>
            <w:tcW w:w="233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lastRenderedPageBreak/>
              <w:t>Emma Archer</w:t>
            </w:r>
          </w:p>
        </w:tc>
        <w:tc>
          <w:tcPr>
            <w:tcW w:w="7015" w:type="dxa"/>
            <w:shd w:val="clear" w:color="auto" w:fill="D0CECE" w:themeFill="background2" w:themeFillShade="E6"/>
          </w:tcPr>
          <w:p w:rsidR="00437CF8" w:rsidRPr="00D35DBE" w:rsidRDefault="00B3274E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Associations Between Food Insecurity and Sleep in Presc</w:t>
            </w:r>
            <w:r>
              <w:rPr>
                <w:rFonts w:asciiTheme="majorHAnsi" w:hAnsiTheme="majorHAnsi" w:cstheme="majorHAnsi"/>
                <w:sz w:val="18"/>
                <w:szCs w:val="15"/>
              </w:rPr>
              <w:t>hool Children and their Parents</w:t>
            </w:r>
          </w:p>
        </w:tc>
      </w:tr>
      <w:tr w:rsidR="00437CF8" w:rsidRPr="00A17FC3" w:rsidTr="00C913EE">
        <w:tc>
          <w:tcPr>
            <w:tcW w:w="233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Emma Hudgins</w:t>
            </w:r>
          </w:p>
        </w:tc>
        <w:tc>
          <w:tcPr>
            <w:tcW w:w="701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Endothelial Cell Metabolism in Obesity</w:t>
            </w:r>
          </w:p>
        </w:tc>
      </w:tr>
      <w:tr w:rsidR="00437CF8" w:rsidRPr="00A17FC3" w:rsidTr="00D35DBE">
        <w:tc>
          <w:tcPr>
            <w:tcW w:w="233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Erica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Schoenfeld</w:t>
            </w:r>
            <w:proofErr w:type="spellEnd"/>
          </w:p>
        </w:tc>
        <w:tc>
          <w:tcPr>
            <w:tcW w:w="701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The Effect of NAD 5’-Capping of RNA on Plasmid Replication in E.coli</w:t>
            </w:r>
          </w:p>
        </w:tc>
      </w:tr>
      <w:tr w:rsidR="00437CF8" w:rsidRPr="00A17FC3" w:rsidTr="00C913EE">
        <w:tc>
          <w:tcPr>
            <w:tcW w:w="233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Gianna Metzger</w:t>
            </w:r>
          </w:p>
        </w:tc>
        <w:tc>
          <w:tcPr>
            <w:tcW w:w="701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Secretory Immunoglobulin A’s Effect on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Cyathostomin</w:t>
            </w:r>
            <w:proofErr w:type="spellEnd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 Infection in the Equine</w:t>
            </w:r>
          </w:p>
        </w:tc>
      </w:tr>
      <w:tr w:rsidR="00437CF8" w:rsidRPr="00A17FC3" w:rsidTr="00D35DBE">
        <w:tc>
          <w:tcPr>
            <w:tcW w:w="233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Ishika</w:t>
            </w:r>
            <w:proofErr w:type="spellEnd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Govil</w:t>
            </w:r>
            <w:proofErr w:type="spellEnd"/>
          </w:p>
        </w:tc>
        <w:tc>
          <w:tcPr>
            <w:tcW w:w="701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Expanding the Genetic Code of Bacteria by Engineering Enzymes to Incorporate New Amino Acids</w:t>
            </w:r>
          </w:p>
        </w:tc>
      </w:tr>
      <w:tr w:rsidR="00437CF8" w:rsidRPr="00A17FC3" w:rsidTr="00C913EE">
        <w:tc>
          <w:tcPr>
            <w:tcW w:w="233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Jacob Hewes</w:t>
            </w:r>
          </w:p>
        </w:tc>
        <w:tc>
          <w:tcPr>
            <w:tcW w:w="7015" w:type="dxa"/>
          </w:tcPr>
          <w:p w:rsidR="00437CF8" w:rsidRPr="00D35DBE" w:rsidRDefault="00B3274E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Effects of Cell Migration on </w:t>
            </w:r>
            <w:proofErr w:type="spellStart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Polyethyleneimine</w:t>
            </w:r>
            <w:proofErr w:type="spellEnd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/DNA </w:t>
            </w:r>
            <w:proofErr w:type="spellStart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Polyplex</w:t>
            </w:r>
            <w:proofErr w:type="spellEnd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 Transfection Efficacy and </w:t>
            </w:r>
            <w:proofErr w:type="spellStart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MechanismEffects</w:t>
            </w:r>
            <w:proofErr w:type="spellEnd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 of Cell Migration on </w:t>
            </w:r>
            <w:proofErr w:type="spellStart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Polyethyleneimine</w:t>
            </w:r>
            <w:proofErr w:type="spellEnd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/DNA </w:t>
            </w:r>
            <w:proofErr w:type="spellStart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Polyplex</w:t>
            </w:r>
            <w:proofErr w:type="spellEnd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 Transfection Efficacy and Mechanism</w:t>
            </w:r>
          </w:p>
        </w:tc>
      </w:tr>
      <w:tr w:rsidR="00437CF8" w:rsidRPr="00A17FC3" w:rsidTr="00D35DBE">
        <w:tc>
          <w:tcPr>
            <w:tcW w:w="233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Jenna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Loquercio</w:t>
            </w:r>
            <w:proofErr w:type="spellEnd"/>
          </w:p>
        </w:tc>
        <w:tc>
          <w:tcPr>
            <w:tcW w:w="701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The Impact of Surgical Masks on Emotion Perception and Gender Identification</w:t>
            </w:r>
          </w:p>
        </w:tc>
      </w:tr>
      <w:tr w:rsidR="00437CF8" w:rsidRPr="00A17FC3" w:rsidTr="00C913EE">
        <w:tc>
          <w:tcPr>
            <w:tcW w:w="233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Jenna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Tomasch</w:t>
            </w:r>
            <w:proofErr w:type="spellEnd"/>
          </w:p>
        </w:tc>
        <w:tc>
          <w:tcPr>
            <w:tcW w:w="701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FASH-A-LETES: Understanding High-Performance Sportswear Design and Research from the Inside Out</w:t>
            </w:r>
          </w:p>
        </w:tc>
      </w:tr>
      <w:tr w:rsidR="00437CF8" w:rsidRPr="00A17FC3" w:rsidTr="00D35DBE">
        <w:tc>
          <w:tcPr>
            <w:tcW w:w="233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Jessica Pidgeon</w:t>
            </w:r>
          </w:p>
        </w:tc>
        <w:tc>
          <w:tcPr>
            <w:tcW w:w="7015" w:type="dxa"/>
            <w:shd w:val="clear" w:color="auto" w:fill="D0CECE" w:themeFill="background2" w:themeFillShade="E6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</w:tr>
      <w:tr w:rsidR="00437CF8" w:rsidRPr="00A17FC3" w:rsidTr="00C913EE">
        <w:tc>
          <w:tcPr>
            <w:tcW w:w="2335" w:type="dxa"/>
          </w:tcPr>
          <w:p w:rsidR="00437CF8" w:rsidRPr="00D35DBE" w:rsidRDefault="00437CF8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D35DBE">
              <w:rPr>
                <w:rFonts w:asciiTheme="majorHAnsi" w:hAnsiTheme="majorHAnsi" w:cstheme="majorHAnsi"/>
                <w:sz w:val="18"/>
                <w:szCs w:val="15"/>
              </w:rPr>
              <w:t xml:space="preserve">John </w:t>
            </w:r>
            <w:proofErr w:type="spellStart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Salsina</w:t>
            </w:r>
            <w:proofErr w:type="spellEnd"/>
            <w:r w:rsidRPr="00D35DBE">
              <w:rPr>
                <w:rFonts w:asciiTheme="majorHAnsi" w:hAnsiTheme="majorHAnsi" w:cstheme="majorHAnsi"/>
                <w:sz w:val="18"/>
                <w:szCs w:val="15"/>
              </w:rPr>
              <w:t>-Tobias</w:t>
            </w:r>
          </w:p>
        </w:tc>
        <w:tc>
          <w:tcPr>
            <w:tcW w:w="7015" w:type="dxa"/>
          </w:tcPr>
          <w:p w:rsidR="00437CF8" w:rsidRPr="00D35DBE" w:rsidRDefault="00B3274E" w:rsidP="00C913EE">
            <w:pPr>
              <w:rPr>
                <w:rFonts w:asciiTheme="majorHAnsi" w:hAnsiTheme="majorHAnsi" w:cstheme="majorHAnsi"/>
                <w:sz w:val="18"/>
                <w:szCs w:val="15"/>
              </w:rPr>
            </w:pPr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Impact of vitamin B12 on the chemotaxis of C. </w:t>
            </w:r>
            <w:proofErr w:type="spellStart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>elegans</w:t>
            </w:r>
            <w:proofErr w:type="spellEnd"/>
            <w:r w:rsidRPr="00B3274E">
              <w:rPr>
                <w:rFonts w:asciiTheme="majorHAnsi" w:hAnsiTheme="majorHAnsi" w:cstheme="majorHAnsi"/>
                <w:sz w:val="18"/>
                <w:szCs w:val="15"/>
              </w:rPr>
              <w:t xml:space="preserve"> expressing neuronal amyloid-beta</w:t>
            </w:r>
          </w:p>
        </w:tc>
      </w:tr>
    </w:tbl>
    <w:p w:rsidR="005813A0" w:rsidRDefault="005813A0" w:rsidP="005813A0">
      <w:pPr>
        <w:spacing w:after="0"/>
        <w:rPr>
          <w:rFonts w:ascii="Georgia" w:hAnsi="Georgia"/>
          <w:b/>
          <w:sz w:val="28"/>
          <w:u w:val="single"/>
        </w:rPr>
      </w:pPr>
    </w:p>
    <w:p w:rsidR="005813A0" w:rsidRDefault="005813A0" w:rsidP="005813A0">
      <w:pPr>
        <w:spacing w:after="0"/>
        <w:jc w:val="center"/>
        <w:rPr>
          <w:rFonts w:ascii="Georgia" w:hAnsi="Georgia"/>
          <w:b/>
          <w:sz w:val="28"/>
          <w:u w:val="single"/>
        </w:rPr>
      </w:pPr>
      <w:r>
        <w:rPr>
          <w:rFonts w:ascii="Georgia" w:hAnsi="Georgia"/>
          <w:b/>
          <w:sz w:val="28"/>
          <w:u w:val="single"/>
        </w:rPr>
        <w:t>1:05-1:30: 2</w:t>
      </w:r>
      <w:r w:rsidRPr="005813A0">
        <w:rPr>
          <w:rFonts w:ascii="Georgia" w:hAnsi="Georgia"/>
          <w:b/>
          <w:sz w:val="28"/>
          <w:u w:val="single"/>
          <w:vertAlign w:val="superscript"/>
        </w:rPr>
        <w:t>nd</w:t>
      </w:r>
      <w:r>
        <w:rPr>
          <w:rFonts w:ascii="Georgia" w:hAnsi="Georgia"/>
          <w:b/>
          <w:sz w:val="28"/>
          <w:u w:val="single"/>
        </w:rPr>
        <w:t xml:space="preserve"> Lightning Talk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D35DBE" w:rsidRPr="00A17FC3" w:rsidTr="00D35DBE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Aimes</w:t>
            </w:r>
            <w:proofErr w:type="spellEnd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 xml:space="preserve"> Skewers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D35DBE">
              <w:rPr>
                <w:rFonts w:ascii="Calibri" w:hAnsi="Calibri" w:cs="Calibri"/>
                <w:color w:val="000000"/>
                <w:sz w:val="18"/>
              </w:rPr>
              <w:t>Epigenetic Effects of a Spinal Cord Injury in Early Life</w:t>
            </w:r>
          </w:p>
        </w:tc>
      </w:tr>
      <w:tr w:rsidR="00D35DBE" w:rsidRPr="00A17FC3" w:rsidTr="00D35DBE">
        <w:tc>
          <w:tcPr>
            <w:tcW w:w="2335" w:type="dxa"/>
            <w:shd w:val="clear" w:color="auto" w:fill="auto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Amanda Reed</w:t>
            </w:r>
          </w:p>
        </w:tc>
        <w:tc>
          <w:tcPr>
            <w:tcW w:w="7015" w:type="dxa"/>
            <w:shd w:val="clear" w:color="auto" w:fill="auto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D35DBE">
              <w:rPr>
                <w:rFonts w:ascii="Calibri" w:hAnsi="Calibri" w:cs="Calibri"/>
                <w:color w:val="000000"/>
                <w:sz w:val="18"/>
              </w:rPr>
              <w:t xml:space="preserve">The Impact of Commitment on </w:t>
            </w: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</w:rPr>
              <w:t>Allyship</w:t>
            </w:r>
            <w:proofErr w:type="spellEnd"/>
            <w:r w:rsidRPr="00D35DBE">
              <w:rPr>
                <w:rFonts w:ascii="Calibri" w:hAnsi="Calibri" w:cs="Calibri"/>
                <w:color w:val="000000"/>
                <w:sz w:val="18"/>
              </w:rPr>
              <w:t xml:space="preserve"> Behavior Toward the LGBTQ+ Community</w:t>
            </w:r>
          </w:p>
        </w:tc>
      </w:tr>
      <w:tr w:rsidR="00D35DBE" w:rsidRPr="00A17FC3" w:rsidTr="00D35DBE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Catherine Clark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D35DBE" w:rsidRPr="00A17FC3" w:rsidTr="00D35DBE">
        <w:tc>
          <w:tcPr>
            <w:tcW w:w="2335" w:type="dxa"/>
            <w:shd w:val="clear" w:color="auto" w:fill="auto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 xml:space="preserve">Leah </w:t>
            </w: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Colaizzi</w:t>
            </w:r>
            <w:proofErr w:type="spellEnd"/>
          </w:p>
        </w:tc>
        <w:tc>
          <w:tcPr>
            <w:tcW w:w="7015" w:type="dxa"/>
            <w:shd w:val="clear" w:color="auto" w:fill="auto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D35DBE">
              <w:rPr>
                <w:rFonts w:ascii="Calibri" w:hAnsi="Calibri" w:cs="Calibri"/>
                <w:color w:val="000000"/>
                <w:sz w:val="18"/>
              </w:rPr>
              <w:t>A Visual Guide for Your Lungs</w:t>
            </w:r>
          </w:p>
        </w:tc>
      </w:tr>
      <w:tr w:rsidR="00D35DBE" w:rsidRPr="00A17FC3" w:rsidTr="00D35DBE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 xml:space="preserve">Obed </w:t>
            </w: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Usenbor</w:t>
            </w:r>
            <w:proofErr w:type="spellEnd"/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D35DBE">
              <w:rPr>
                <w:rFonts w:ascii="Calibri" w:hAnsi="Calibri" w:cs="Calibri"/>
                <w:color w:val="000000"/>
                <w:sz w:val="18"/>
              </w:rPr>
              <w:t>The Effects Context has on Intuitive Learning</w:t>
            </w:r>
          </w:p>
        </w:tc>
      </w:tr>
      <w:tr w:rsidR="00D35DBE" w:rsidRPr="00A17FC3" w:rsidTr="00F6162E">
        <w:tc>
          <w:tcPr>
            <w:tcW w:w="233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Slade Goldman</w:t>
            </w:r>
          </w:p>
        </w:tc>
        <w:tc>
          <w:tcPr>
            <w:tcW w:w="701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D35DBE">
              <w:rPr>
                <w:rFonts w:ascii="Calibri" w:hAnsi="Calibri" w:cs="Calibri"/>
                <w:color w:val="000000"/>
                <w:sz w:val="18"/>
              </w:rPr>
              <w:t>“</w:t>
            </w: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</w:rPr>
              <w:t>ChemisTree</w:t>
            </w:r>
            <w:proofErr w:type="spellEnd"/>
            <w:r w:rsidRPr="00D35DBE">
              <w:rPr>
                <w:rFonts w:ascii="Calibri" w:hAnsi="Calibri" w:cs="Calibri"/>
                <w:color w:val="000000"/>
                <w:sz w:val="18"/>
              </w:rPr>
              <w:t>”: A novel, interactive chemistry game to teach students about The electron configurations of atoms and ions</w:t>
            </w:r>
          </w:p>
        </w:tc>
      </w:tr>
      <w:tr w:rsidR="00D35DBE" w:rsidRPr="00A17FC3" w:rsidTr="00D35DBE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Willa Lane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AB76D1" w:rsidRDefault="00AB76D1" w:rsidP="00D35DBE">
      <w:pPr>
        <w:spacing w:after="0"/>
        <w:jc w:val="center"/>
        <w:rPr>
          <w:rFonts w:ascii="Georgia" w:hAnsi="Georgia"/>
          <w:b/>
          <w:sz w:val="28"/>
          <w:u w:val="single"/>
        </w:rPr>
      </w:pPr>
    </w:p>
    <w:p w:rsidR="00854D7E" w:rsidRDefault="005813A0" w:rsidP="00D35DBE">
      <w:pPr>
        <w:spacing w:after="0"/>
        <w:jc w:val="center"/>
        <w:rPr>
          <w:rFonts w:ascii="Georgia" w:hAnsi="Georgia"/>
          <w:b/>
          <w:sz w:val="28"/>
          <w:u w:val="single"/>
        </w:rPr>
      </w:pPr>
      <w:r>
        <w:rPr>
          <w:rFonts w:ascii="Georgia" w:hAnsi="Georgia"/>
          <w:b/>
          <w:sz w:val="28"/>
          <w:u w:val="single"/>
        </w:rPr>
        <w:t>1:35-1:55: 2</w:t>
      </w:r>
      <w:r w:rsidRPr="005813A0">
        <w:rPr>
          <w:rFonts w:ascii="Georgia" w:hAnsi="Georgia"/>
          <w:b/>
          <w:sz w:val="28"/>
          <w:u w:val="single"/>
          <w:vertAlign w:val="superscript"/>
        </w:rPr>
        <w:t>nd</w:t>
      </w:r>
      <w:r>
        <w:rPr>
          <w:rFonts w:ascii="Georgia" w:hAnsi="Georgia"/>
          <w:b/>
          <w:sz w:val="28"/>
          <w:u w:val="single"/>
        </w:rPr>
        <w:t xml:space="preserve"> Poster Session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D35DBE" w:rsidRPr="00A17FC3" w:rsidTr="00CE00BF">
        <w:tc>
          <w:tcPr>
            <w:tcW w:w="233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sz w:val="18"/>
                <w:szCs w:val="32"/>
              </w:rPr>
            </w:pPr>
            <w:r w:rsidRPr="00D35DBE">
              <w:rPr>
                <w:rFonts w:ascii="Calibri" w:hAnsi="Calibri" w:cs="Calibri"/>
                <w:sz w:val="18"/>
                <w:szCs w:val="32"/>
              </w:rPr>
              <w:t>Alexia Scotto</w:t>
            </w:r>
          </w:p>
        </w:tc>
        <w:tc>
          <w:tcPr>
            <w:tcW w:w="7015" w:type="dxa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The Combination of Painting and Ceramics</w:t>
            </w:r>
          </w:p>
        </w:tc>
      </w:tr>
      <w:tr w:rsidR="00D35DBE" w:rsidRPr="00A17FC3" w:rsidTr="00CE00BF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Lindsey Wang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>Towards 3D Image Rendering From 2D Drone Image Captures</w:t>
            </w:r>
          </w:p>
        </w:tc>
      </w:tr>
      <w:tr w:rsidR="00D35DBE" w:rsidRPr="00A17FC3" w:rsidTr="00CE00BF">
        <w:tc>
          <w:tcPr>
            <w:tcW w:w="233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Rory Raymer</w:t>
            </w:r>
          </w:p>
        </w:tc>
        <w:tc>
          <w:tcPr>
            <w:tcW w:w="7015" w:type="dxa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>Optimizing In-Vitro Cultivation Techniques for Protozoans of the Equine Hind-gut</w:t>
            </w:r>
          </w:p>
        </w:tc>
      </w:tr>
      <w:tr w:rsidR="00D35DBE" w:rsidRPr="00A17FC3" w:rsidTr="00CE00BF">
        <w:trPr>
          <w:trHeight w:val="62"/>
        </w:trPr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sz w:val="18"/>
                <w:szCs w:val="32"/>
              </w:rPr>
            </w:pPr>
            <w:r w:rsidRPr="00D35DBE">
              <w:rPr>
                <w:rFonts w:ascii="Calibri" w:hAnsi="Calibri" w:cs="Calibri"/>
                <w:sz w:val="18"/>
                <w:szCs w:val="32"/>
              </w:rPr>
              <w:t>Sarah Gustafson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</w:p>
        </w:tc>
      </w:tr>
      <w:tr w:rsidR="00D35DBE" w:rsidRPr="00A17FC3" w:rsidTr="00CE00BF">
        <w:tc>
          <w:tcPr>
            <w:tcW w:w="2335" w:type="dxa"/>
          </w:tcPr>
          <w:p w:rsidR="00D35DBE" w:rsidRPr="00AB76D1" w:rsidRDefault="00D35DBE" w:rsidP="00D35DB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AB76D1">
              <w:rPr>
                <w:rFonts w:asciiTheme="majorHAnsi" w:hAnsiTheme="majorHAnsi" w:cstheme="majorHAnsi"/>
                <w:sz w:val="18"/>
                <w:szCs w:val="18"/>
              </w:rPr>
              <w:t xml:space="preserve">Miguel </w:t>
            </w:r>
            <w:proofErr w:type="spellStart"/>
            <w:r w:rsidRPr="00AB76D1">
              <w:rPr>
                <w:rFonts w:asciiTheme="majorHAnsi" w:hAnsiTheme="majorHAnsi" w:cstheme="majorHAnsi"/>
                <w:sz w:val="18"/>
                <w:szCs w:val="18"/>
              </w:rPr>
              <w:t>Prysakar</w:t>
            </w:r>
            <w:proofErr w:type="spellEnd"/>
          </w:p>
        </w:tc>
        <w:tc>
          <w:tcPr>
            <w:tcW w:w="7015" w:type="dxa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The epigenetic effect of maternal buffering in rodent pups exposed to a predator odor</w:t>
            </w:r>
          </w:p>
        </w:tc>
      </w:tr>
      <w:tr w:rsidR="00D35DBE" w:rsidRPr="00A17FC3" w:rsidTr="00AB76D1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Shivam</w:t>
            </w:r>
            <w:proofErr w:type="spellEnd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 xml:space="preserve"> Chauhan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>Advancing Simple Forward Design with Tandem CFD and Simulink of Flow Structuring Hierarchal Materials for Soft Actuator Applications</w:t>
            </w:r>
          </w:p>
        </w:tc>
      </w:tr>
      <w:tr w:rsidR="00D35DBE" w:rsidTr="00CE00BF">
        <w:tc>
          <w:tcPr>
            <w:tcW w:w="233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Silo Murphy</w:t>
            </w:r>
          </w:p>
        </w:tc>
        <w:tc>
          <w:tcPr>
            <w:tcW w:w="7015" w:type="dxa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K-profile Analysis of Linear Operators</w:t>
            </w:r>
          </w:p>
        </w:tc>
      </w:tr>
      <w:tr w:rsidR="00D35DBE" w:rsidTr="00AB76D1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Sophie Olson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>Determining TRMT1-Protein Interaction Partners through Proximity Labeling</w:t>
            </w:r>
          </w:p>
        </w:tc>
      </w:tr>
      <w:tr w:rsidR="00D35DBE" w:rsidTr="00CE00BF">
        <w:tc>
          <w:tcPr>
            <w:tcW w:w="233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sz w:val="18"/>
                <w:szCs w:val="32"/>
              </w:rPr>
            </w:pPr>
            <w:proofErr w:type="spellStart"/>
            <w:r w:rsidRPr="00D35DBE">
              <w:rPr>
                <w:rFonts w:ascii="Calibri" w:hAnsi="Calibri" w:cs="Calibri"/>
                <w:sz w:val="18"/>
                <w:szCs w:val="32"/>
              </w:rPr>
              <w:t>Srinikhita</w:t>
            </w:r>
            <w:proofErr w:type="spellEnd"/>
            <w:r w:rsidRPr="00D35DBE">
              <w:rPr>
                <w:rFonts w:ascii="Calibri" w:hAnsi="Calibri" w:cs="Calibri"/>
                <w:sz w:val="18"/>
                <w:szCs w:val="32"/>
              </w:rPr>
              <w:t xml:space="preserve"> </w:t>
            </w:r>
            <w:proofErr w:type="spellStart"/>
            <w:r w:rsidRPr="00D35DBE">
              <w:rPr>
                <w:rFonts w:ascii="Calibri" w:hAnsi="Calibri" w:cs="Calibri"/>
                <w:sz w:val="18"/>
                <w:szCs w:val="32"/>
              </w:rPr>
              <w:t>Bomasamudram</w:t>
            </w:r>
            <w:proofErr w:type="spellEnd"/>
          </w:p>
        </w:tc>
        <w:tc>
          <w:tcPr>
            <w:tcW w:w="7015" w:type="dxa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 xml:space="preserve">Potential </w:t>
            </w:r>
            <w:proofErr w:type="spellStart"/>
            <w:r w:rsidRPr="00B3274E">
              <w:rPr>
                <w:rFonts w:ascii="Calibri" w:hAnsi="Calibri" w:cs="Calibri"/>
                <w:color w:val="000000"/>
                <w:sz w:val="18"/>
              </w:rPr>
              <w:t>cADPR</w:t>
            </w:r>
            <w:proofErr w:type="spellEnd"/>
            <w:r w:rsidRPr="00B3274E">
              <w:rPr>
                <w:rFonts w:ascii="Calibri" w:hAnsi="Calibri" w:cs="Calibri"/>
                <w:color w:val="000000"/>
                <w:sz w:val="18"/>
              </w:rPr>
              <w:t xml:space="preserve"> Binding Partners and their Significance in the </w:t>
            </w:r>
            <w:proofErr w:type="spellStart"/>
            <w:r w:rsidRPr="00B3274E">
              <w:rPr>
                <w:rFonts w:ascii="Calibri" w:hAnsi="Calibri" w:cs="Calibri"/>
                <w:color w:val="000000"/>
                <w:sz w:val="18"/>
              </w:rPr>
              <w:t>Thoeris</w:t>
            </w:r>
            <w:proofErr w:type="spellEnd"/>
            <w:r w:rsidRPr="00B3274E">
              <w:rPr>
                <w:rFonts w:ascii="Calibri" w:hAnsi="Calibri" w:cs="Calibri"/>
                <w:color w:val="000000"/>
                <w:sz w:val="18"/>
              </w:rPr>
              <w:t xml:space="preserve"> System</w:t>
            </w:r>
          </w:p>
        </w:tc>
      </w:tr>
      <w:tr w:rsidR="00D35DBE" w:rsidTr="00AB76D1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Talia Collier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>Pomegranate peel metabolite analysis through liquid chromatography-mass spectrometry</w:t>
            </w:r>
          </w:p>
        </w:tc>
      </w:tr>
      <w:tr w:rsidR="00D35DBE" w:rsidTr="00CE00BF">
        <w:tc>
          <w:tcPr>
            <w:tcW w:w="233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 xml:space="preserve">Talia </w:t>
            </w: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Gillespe</w:t>
            </w:r>
            <w:proofErr w:type="spellEnd"/>
          </w:p>
        </w:tc>
        <w:tc>
          <w:tcPr>
            <w:tcW w:w="7015" w:type="dxa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>The Association Between Actors’ Behavior and Relationship Quality on Partners’ Reaction</w:t>
            </w:r>
          </w:p>
        </w:tc>
      </w:tr>
      <w:tr w:rsidR="00D35DBE" w:rsidTr="00AB76D1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 xml:space="preserve">Wendy </w:t>
            </w: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Sanches</w:t>
            </w:r>
            <w:proofErr w:type="spellEnd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-Rodriguez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 xml:space="preserve">Examining effects of Attachment and </w:t>
            </w:r>
            <w:proofErr w:type="spellStart"/>
            <w:r w:rsidRPr="00B3274E">
              <w:rPr>
                <w:rFonts w:ascii="Calibri" w:hAnsi="Calibri" w:cs="Calibri"/>
                <w:color w:val="000000"/>
                <w:sz w:val="18"/>
              </w:rPr>
              <w:t>Biobehavioral</w:t>
            </w:r>
            <w:proofErr w:type="spellEnd"/>
            <w:r w:rsidRPr="00B3274E">
              <w:rPr>
                <w:rFonts w:ascii="Calibri" w:hAnsi="Calibri" w:cs="Calibri"/>
                <w:color w:val="000000"/>
                <w:sz w:val="18"/>
              </w:rPr>
              <w:t xml:space="preserve"> Catch-up on mothers with histories of opioid-use</w:t>
            </w:r>
          </w:p>
        </w:tc>
      </w:tr>
      <w:tr w:rsidR="00D35DBE" w:rsidTr="00CE00BF">
        <w:tc>
          <w:tcPr>
            <w:tcW w:w="233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sz w:val="18"/>
                <w:szCs w:val="32"/>
              </w:rPr>
            </w:pPr>
            <w:proofErr w:type="spellStart"/>
            <w:r w:rsidRPr="00D35DBE">
              <w:rPr>
                <w:rFonts w:ascii="Calibri" w:hAnsi="Calibri" w:cs="Calibri"/>
                <w:sz w:val="18"/>
                <w:szCs w:val="32"/>
              </w:rPr>
              <w:t>Zsanaia</w:t>
            </w:r>
            <w:proofErr w:type="spellEnd"/>
            <w:r w:rsidRPr="00D35DBE">
              <w:rPr>
                <w:rFonts w:ascii="Calibri" w:hAnsi="Calibri" w:cs="Calibri"/>
                <w:sz w:val="18"/>
                <w:szCs w:val="32"/>
              </w:rPr>
              <w:t xml:space="preserve"> Queen </w:t>
            </w:r>
            <w:proofErr w:type="spellStart"/>
            <w:r w:rsidRPr="00D35DBE">
              <w:rPr>
                <w:rFonts w:ascii="Calibri" w:hAnsi="Calibri" w:cs="Calibri"/>
                <w:sz w:val="18"/>
                <w:szCs w:val="32"/>
              </w:rPr>
              <w:t>Badiang</w:t>
            </w:r>
            <w:proofErr w:type="spellEnd"/>
          </w:p>
        </w:tc>
        <w:tc>
          <w:tcPr>
            <w:tcW w:w="7015" w:type="dxa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  <w:szCs w:val="24"/>
              </w:rPr>
            </w:pPr>
            <w:r w:rsidRPr="00B3274E">
              <w:rPr>
                <w:rFonts w:ascii="Calibri" w:hAnsi="Calibri" w:cs="Calibri"/>
                <w:color w:val="000000"/>
                <w:sz w:val="18"/>
              </w:rPr>
              <w:t>Ex Vivo Culture of Mouse Femoral Heads Results in Osteoarthritis-like Gene Expression</w:t>
            </w:r>
          </w:p>
        </w:tc>
      </w:tr>
      <w:tr w:rsidR="00D35DBE" w:rsidTr="00AB76D1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Denise Becker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D35DBE" w:rsidTr="00CE00BF">
        <w:tc>
          <w:tcPr>
            <w:tcW w:w="2335" w:type="dxa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Madeline Downer</w:t>
            </w:r>
          </w:p>
        </w:tc>
        <w:tc>
          <w:tcPr>
            <w:tcW w:w="7015" w:type="dxa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Lenape Edible Forest Garden</w:t>
            </w:r>
          </w:p>
        </w:tc>
      </w:tr>
      <w:tr w:rsidR="00D35DBE" w:rsidTr="00AB76D1">
        <w:tc>
          <w:tcPr>
            <w:tcW w:w="2335" w:type="dxa"/>
            <w:shd w:val="clear" w:color="auto" w:fill="D0CECE" w:themeFill="background2" w:themeFillShade="E6"/>
            <w:vAlign w:val="bottom"/>
          </w:tcPr>
          <w:p w:rsidR="00D35DBE" w:rsidRPr="00D35DBE" w:rsidRDefault="00D35DBE" w:rsidP="00D35DBE">
            <w:pPr>
              <w:rPr>
                <w:rFonts w:ascii="Calibri" w:hAnsi="Calibri" w:cs="Calibri"/>
                <w:color w:val="000000"/>
                <w:sz w:val="18"/>
                <w:szCs w:val="32"/>
              </w:rPr>
            </w:pPr>
            <w:proofErr w:type="spellStart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>Elina</w:t>
            </w:r>
            <w:proofErr w:type="spellEnd"/>
            <w:r w:rsidRPr="00D35DBE">
              <w:rPr>
                <w:rFonts w:ascii="Calibri" w:hAnsi="Calibri" w:cs="Calibri"/>
                <w:color w:val="000000"/>
                <w:sz w:val="18"/>
                <w:szCs w:val="32"/>
              </w:rPr>
              <w:t xml:space="preserve"> Rodriguez</w:t>
            </w:r>
            <w:r>
              <w:rPr>
                <w:rFonts w:ascii="Calibri" w:hAnsi="Calibri" w:cs="Calibri"/>
                <w:color w:val="000000"/>
                <w:sz w:val="18"/>
                <w:szCs w:val="32"/>
              </w:rPr>
              <w:t xml:space="preserve"> and Daria Willis</w:t>
            </w:r>
          </w:p>
        </w:tc>
        <w:tc>
          <w:tcPr>
            <w:tcW w:w="7015" w:type="dxa"/>
            <w:shd w:val="clear" w:color="auto" w:fill="D0CECE" w:themeFill="background2" w:themeFillShade="E6"/>
            <w:vAlign w:val="bottom"/>
          </w:tcPr>
          <w:p w:rsidR="00D35DBE" w:rsidRPr="00D35DBE" w:rsidRDefault="00B3274E" w:rsidP="00D35DBE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Effects of Maternal Immune Activation on Embryonic Day 15 on the Maternal and Fetal Immune Response</w:t>
            </w:r>
            <w:bookmarkStart w:id="0" w:name="_GoBack"/>
            <w:bookmarkEnd w:id="0"/>
          </w:p>
        </w:tc>
      </w:tr>
    </w:tbl>
    <w:p w:rsidR="00D35DBE" w:rsidRDefault="00D35DBE" w:rsidP="00D35DBE">
      <w:pPr>
        <w:spacing w:after="0"/>
        <w:rPr>
          <w:rFonts w:ascii="Georgia" w:hAnsi="Georgia"/>
          <w:b/>
          <w:sz w:val="28"/>
          <w:u w:val="single"/>
        </w:rPr>
      </w:pPr>
    </w:p>
    <w:p w:rsidR="00D35DBE" w:rsidRDefault="008D7279" w:rsidP="00D35DBE">
      <w:pPr>
        <w:spacing w:after="0"/>
        <w:rPr>
          <w:rFonts w:ascii="Georgia" w:hAnsi="Georgia"/>
          <w:b/>
          <w:sz w:val="28"/>
          <w:u w:val="single"/>
        </w:rPr>
      </w:pPr>
      <w:r>
        <w:rPr>
          <w:rFonts w:ascii="Georgia" w:hAnsi="Georgia"/>
          <w:b/>
          <w:noProof/>
          <w:sz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949325" cy="1179830"/>
            <wp:effectExtent l="0" t="0" r="3175" b="1270"/>
            <wp:wrapTight wrapText="bothSides">
              <wp:wrapPolygon edited="0">
                <wp:start x="0" y="0"/>
                <wp:lineTo x="0" y="21274"/>
                <wp:lineTo x="21239" y="21274"/>
                <wp:lineTo x="21239" y="0"/>
                <wp:lineTo x="0" y="0"/>
              </wp:wrapPolygon>
            </wp:wrapTight>
            <wp:docPr id="4" name="Picture 4" descr="C:\Users\jhmun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hmun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b/>
          <w:noProof/>
          <w:sz w:val="28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5108331</wp:posOffset>
            </wp:positionH>
            <wp:positionV relativeFrom="paragraph">
              <wp:posOffset>10844</wp:posOffset>
            </wp:positionV>
            <wp:extent cx="967105" cy="1202055"/>
            <wp:effectExtent l="0" t="0" r="4445" b="0"/>
            <wp:wrapTight wrapText="bothSides">
              <wp:wrapPolygon edited="0">
                <wp:start x="0" y="0"/>
                <wp:lineTo x="0" y="21223"/>
                <wp:lineTo x="21274" y="21223"/>
                <wp:lineTo x="21274" y="0"/>
                <wp:lineTo x="0" y="0"/>
              </wp:wrapPolygon>
            </wp:wrapTight>
            <wp:docPr id="5" name="Picture 5" descr="C:\Users\jhmun\Downloads\fram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mun\Downloads\frame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DBE" w:rsidRDefault="00D35DBE" w:rsidP="00BE442D">
      <w:pPr>
        <w:spacing w:after="0"/>
        <w:jc w:val="center"/>
        <w:rPr>
          <w:rFonts w:ascii="Georgia" w:hAnsi="Georgia"/>
          <w:b/>
          <w:sz w:val="28"/>
          <w:u w:val="single"/>
        </w:rPr>
      </w:pPr>
      <w:r>
        <w:rPr>
          <w:rFonts w:ascii="Georgia" w:hAnsi="Georgia"/>
          <w:b/>
          <w:sz w:val="28"/>
          <w:u w:val="single"/>
        </w:rPr>
        <w:t xml:space="preserve">Follow us on social media for up to date </w:t>
      </w:r>
      <w:r w:rsidR="00BE442D">
        <w:rPr>
          <w:rFonts w:ascii="Georgia" w:hAnsi="Georgia"/>
          <w:b/>
          <w:sz w:val="28"/>
          <w:u w:val="single"/>
        </w:rPr>
        <w:br/>
      </w:r>
      <w:r>
        <w:rPr>
          <w:rFonts w:ascii="Georgia" w:hAnsi="Georgia"/>
          <w:b/>
          <w:sz w:val="28"/>
          <w:u w:val="single"/>
        </w:rPr>
        <w:t>information about research programs and opportunities!</w:t>
      </w:r>
    </w:p>
    <w:p w:rsidR="00BE442D" w:rsidRDefault="00BE442D" w:rsidP="00D35DBE">
      <w:pPr>
        <w:spacing w:after="0"/>
        <w:jc w:val="center"/>
        <w:rPr>
          <w:rFonts w:ascii="Georgia" w:hAnsi="Georgia"/>
          <w:b/>
          <w:sz w:val="28"/>
          <w:u w:val="single"/>
        </w:rPr>
      </w:pPr>
    </w:p>
    <w:p w:rsidR="00BE442D" w:rsidRPr="008D7279" w:rsidRDefault="008D7279" w:rsidP="00BE442D">
      <w:pPr>
        <w:spacing w:after="0"/>
        <w:jc w:val="right"/>
        <w:rPr>
          <w:rFonts w:ascii="Georgia" w:hAnsi="Georgia"/>
          <w:b/>
          <w:sz w:val="24"/>
        </w:rPr>
      </w:pPr>
      <w:r w:rsidRPr="008D7279">
        <w:rPr>
          <w:rFonts w:ascii="Georgia" w:hAnsi="Georgia"/>
          <w:b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5063832</wp:posOffset>
                </wp:positionH>
                <wp:positionV relativeFrom="paragraph">
                  <wp:posOffset>122262</wp:posOffset>
                </wp:positionV>
                <wp:extent cx="1134110" cy="28956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279" w:rsidRDefault="008D7279" w:rsidP="008D7279">
                            <w:pPr>
                              <w:jc w:val="center"/>
                            </w:pPr>
                            <w:r>
                              <w:t>McNair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75pt;margin-top:9.65pt;width:89.3pt;height:2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" stroked="f">
                <v:textbox>
                  <w:txbxContent>
                    <w:p w:rsidR="008D7279" w:rsidRDefault="008D7279" w:rsidP="008D7279">
                      <w:pPr>
                        <w:jc w:val="center"/>
                      </w:pPr>
                      <w:r>
                        <w:t>McNair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D7279">
        <w:rPr>
          <w:rFonts w:ascii="Georgia" w:hAnsi="Georgia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75CE5C" wp14:editId="347A5BDA">
                <wp:simplePos x="0" y="0"/>
                <wp:positionH relativeFrom="margin">
                  <wp:align>left</wp:align>
                </wp:positionH>
                <wp:positionV relativeFrom="paragraph">
                  <wp:posOffset>90317</wp:posOffset>
                </wp:positionV>
                <wp:extent cx="984250" cy="289560"/>
                <wp:effectExtent l="0" t="0" r="635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279" w:rsidRDefault="008D7279" w:rsidP="008D7279">
                            <w:pPr>
                              <w:jc w:val="center"/>
                            </w:pPr>
                            <w:r>
                              <w:t>URP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5CE5C" id="_x0000_s1027" type="#_x0000_t202" style="position:absolute;left:0;text-align:left;margin-left:0;margin-top:7.1pt;width:77.5pt;height:22.8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" stroked="f">
                <v:textbox>
                  <w:txbxContent>
                    <w:p w:rsidR="008D7279" w:rsidRDefault="008D7279" w:rsidP="008D7279">
                      <w:pPr>
                        <w:jc w:val="center"/>
                      </w:pPr>
                      <w:r>
                        <w:t>URP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E442D" w:rsidRPr="008D7279" w:rsidSect="001F6A40">
      <w:pgSz w:w="12240" w:h="15840"/>
      <w:pgMar w:top="1440" w:right="1440" w:bottom="1440" w:left="1440" w:header="720" w:footer="720" w:gutter="0"/>
      <w:pgBorders w:offsetFrom="page">
        <w:top w:val="single" w:sz="4" w:space="24" w:color="4472C4" w:themeColor="accent5"/>
        <w:left w:val="single" w:sz="4" w:space="24" w:color="4472C4" w:themeColor="accent5"/>
        <w:bottom w:val="single" w:sz="4" w:space="24" w:color="4472C4" w:themeColor="accent5"/>
        <w:right w:val="single" w:sz="4" w:space="24" w:color="4472C4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A0"/>
    <w:rsid w:val="000F2326"/>
    <w:rsid w:val="00437CF8"/>
    <w:rsid w:val="005813A0"/>
    <w:rsid w:val="006C4B31"/>
    <w:rsid w:val="008B4933"/>
    <w:rsid w:val="008D7279"/>
    <w:rsid w:val="00AB76D1"/>
    <w:rsid w:val="00B3274E"/>
    <w:rsid w:val="00BE442D"/>
    <w:rsid w:val="00D3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7CBC"/>
  <w15:chartTrackingRefBased/>
  <w15:docId w15:val="{312E8FD2-4C5F-4584-B999-713EC009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5DB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Mun, Julia</dc:creator>
  <cp:keywords/>
  <dc:description/>
  <cp:lastModifiedBy>Mun, Julia</cp:lastModifiedBy>
  <cp:revision>3</cp:revision>
  <cp:lastPrinted>2023-01-24T18:25:00Z</cp:lastPrinted>
  <dcterms:created xsi:type="dcterms:W3CDTF">2023-01-24T17:38:00Z</dcterms:created>
  <dcterms:modified xsi:type="dcterms:W3CDTF">2023-02-06T18:42:00Z</dcterms:modified>
</cp:coreProperties>
</file>