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A9B57" w14:textId="678FF6FD" w:rsidR="006D7CB2" w:rsidRDefault="00664BA2">
      <w:pPr>
        <w:pStyle w:val="Heading2"/>
        <w:spacing w:after="160" w:line="278" w:lineRule="auto"/>
      </w:pPr>
      <w:bookmarkStart w:id="0" w:name="_5ntmfqpkhddu" w:colFirst="0" w:colLast="0"/>
      <w:bookmarkEnd w:id="0"/>
      <w:r>
        <w:t xml:space="preserve">Title :Longitudinal Assessment of  BMD </w:t>
      </w:r>
      <w:r w:rsidR="00445F10">
        <w:t>F</w:t>
      </w:r>
      <w:r>
        <w:t>ollowing Bisphosphonate Administration in Pre- and Postpubertal Children</w:t>
      </w:r>
    </w:p>
    <w:p w14:paraId="2A56233C" w14:textId="77777777" w:rsidR="006D7CB2" w:rsidRDefault="006D7CB2"/>
    <w:p w14:paraId="45928B57" w14:textId="77777777" w:rsidR="006D7CB2" w:rsidRDefault="00664BA2">
      <w:pPr>
        <w:rPr>
          <w:vertAlign w:val="superscript"/>
        </w:rPr>
      </w:pPr>
      <w:r>
        <w:t xml:space="preserve">Authors: Chanelle Adjei </w:t>
      </w:r>
      <w:r>
        <w:rPr>
          <w:vertAlign w:val="superscript"/>
        </w:rPr>
        <w:t>1,2</w:t>
      </w:r>
      <w:r>
        <w:t>, Laura Owens</w:t>
      </w:r>
      <w:r>
        <w:rPr>
          <w:vertAlign w:val="superscript"/>
        </w:rPr>
        <w:t>2</w:t>
      </w:r>
      <w:r>
        <w:t>, Heidi Kecskemethy</w:t>
      </w:r>
      <w:r>
        <w:rPr>
          <w:vertAlign w:val="superscript"/>
        </w:rPr>
        <w:t>1</w:t>
      </w:r>
    </w:p>
    <w:p w14:paraId="21F85A94" w14:textId="77777777" w:rsidR="006D7CB2" w:rsidRDefault="00664BA2">
      <w:r>
        <w:t xml:space="preserve">Departments of </w:t>
      </w:r>
      <w:r>
        <w:rPr>
          <w:vertAlign w:val="superscript"/>
        </w:rPr>
        <w:t xml:space="preserve">1 </w:t>
      </w:r>
      <w:r>
        <w:t xml:space="preserve">Radiology and </w:t>
      </w:r>
      <w:r>
        <w:rPr>
          <w:vertAlign w:val="superscript"/>
        </w:rPr>
        <w:t>2</w:t>
      </w:r>
      <w:r>
        <w:t xml:space="preserve">​​Rehabilitation Medicine, Nemours Children’s Hospital, Delaware </w:t>
      </w:r>
    </w:p>
    <w:p w14:paraId="3B2B7268" w14:textId="77777777" w:rsidR="00814DA7" w:rsidRDefault="00814DA7" w:rsidP="00814DA7">
      <w:pPr>
        <w:rPr>
          <w:lang w:val="en-US"/>
        </w:rPr>
      </w:pPr>
    </w:p>
    <w:p w14:paraId="43B11CA1" w14:textId="744A7473" w:rsidR="00814DA7" w:rsidRPr="00814DA7" w:rsidRDefault="00814DA7" w:rsidP="00814DA7">
      <w:pPr>
        <w:rPr>
          <w:lang w:val="en-US"/>
        </w:rPr>
      </w:pPr>
      <w:r>
        <w:rPr>
          <w:lang w:val="en-US"/>
        </w:rPr>
        <w:t xml:space="preserve">INBRE Acknowledgement: </w:t>
      </w:r>
      <w:r w:rsidRPr="00814DA7">
        <w:rPr>
          <w:lang w:val="en-US"/>
        </w:rPr>
        <w:t>This poster was supported by the Delaware INBRE program, with a grant from the National Institute of General Medical Sciences - NIGMS (P20 GM103446) from the National Institutes of Health &amp; the State of Delaware.</w:t>
      </w:r>
    </w:p>
    <w:p w14:paraId="23FA4780" w14:textId="1EAE9303" w:rsidR="00814DA7" w:rsidRDefault="00814DA7" w:rsidP="00814DA7"/>
    <w:p w14:paraId="469ACB5D" w14:textId="5F445B9D" w:rsidR="00EE0E47" w:rsidRDefault="00C34202" w:rsidP="00F20DE7">
      <w:pPr>
        <w:pStyle w:val="Heading3"/>
      </w:pPr>
      <w:r>
        <w:t xml:space="preserve">Abstract </w:t>
      </w:r>
    </w:p>
    <w:p w14:paraId="56A268FB" w14:textId="77777777" w:rsidR="00E74FEE" w:rsidRDefault="00EC7892" w:rsidP="005378C5">
      <w:pPr>
        <w:rPr>
          <w:lang w:val="en-US"/>
        </w:rPr>
      </w:pPr>
      <w:r w:rsidRPr="00EC7892">
        <w:rPr>
          <w:lang w:val="en-US"/>
        </w:rPr>
        <w:t>Children with cerebral palsy (CP) are at high risk for decreased bone mineral density (BMD) and fracture due to multiple medical factors. Bisphosphonates (BPs) are a common medication used in this and other populations to improve BMD and prevent fracture</w:t>
      </w:r>
      <w:r w:rsidR="004E45D8">
        <w:rPr>
          <w:lang w:val="en-US"/>
        </w:rPr>
        <w:t>.</w:t>
      </w:r>
      <w:r w:rsidRPr="00EC7892">
        <w:rPr>
          <w:lang w:val="en-US"/>
        </w:rPr>
        <w:t xml:space="preserve"> </w:t>
      </w:r>
      <w:r w:rsidR="004E45D8" w:rsidRPr="00EC7892">
        <w:rPr>
          <w:lang w:val="en-US"/>
        </w:rPr>
        <w:t>H</w:t>
      </w:r>
      <w:r w:rsidRPr="00EC7892">
        <w:rPr>
          <w:lang w:val="en-US"/>
        </w:rPr>
        <w:t>owever</w:t>
      </w:r>
      <w:r w:rsidR="004E45D8">
        <w:rPr>
          <w:lang w:val="en-US"/>
        </w:rPr>
        <w:t>,</w:t>
      </w:r>
      <w:r w:rsidRPr="00EC7892">
        <w:rPr>
          <w:lang w:val="en-US"/>
        </w:rPr>
        <w:t xml:space="preserve"> little is known about the effect</w:t>
      </w:r>
      <w:r w:rsidR="004E45D8">
        <w:rPr>
          <w:lang w:val="en-US"/>
        </w:rPr>
        <w:t>s</w:t>
      </w:r>
      <w:r w:rsidRPr="00EC7892">
        <w:rPr>
          <w:lang w:val="en-US"/>
        </w:rPr>
        <w:t xml:space="preserve"> of BP on the BMD accrual of children with CP</w:t>
      </w:r>
      <w:r w:rsidR="00FF7103">
        <w:rPr>
          <w:lang w:val="en-US"/>
        </w:rPr>
        <w:t>, specifically</w:t>
      </w:r>
      <w:r w:rsidRPr="00EC7892">
        <w:rPr>
          <w:lang w:val="en-US"/>
        </w:rPr>
        <w:t xml:space="preserve"> before and after puberty. </w:t>
      </w:r>
    </w:p>
    <w:p w14:paraId="303BD69E" w14:textId="77777777" w:rsidR="000F7363" w:rsidRDefault="000F7363" w:rsidP="005378C5">
      <w:pPr>
        <w:rPr>
          <w:lang w:val="en-US"/>
        </w:rPr>
      </w:pPr>
    </w:p>
    <w:p w14:paraId="657E4557" w14:textId="77777777" w:rsidR="00651BF2" w:rsidRDefault="00E74FEE" w:rsidP="005378C5">
      <w:pPr>
        <w:rPr>
          <w:lang w:val="en-US"/>
        </w:rPr>
      </w:pPr>
      <w:r w:rsidRPr="00E74FEE">
        <w:t>Retrospective</w:t>
      </w:r>
      <w:r>
        <w:t xml:space="preserve"> review of </w:t>
      </w:r>
      <w:r w:rsidRPr="00E74FEE">
        <w:t>BMD results by DXA and clinical information of children</w:t>
      </w:r>
      <w:r w:rsidR="003207E4">
        <w:t xml:space="preserve"> aged 2-18 years </w:t>
      </w:r>
      <w:r w:rsidRPr="00E74FEE">
        <w:t>with CP, treated at NCHDE from 2000 to 2025.</w:t>
      </w:r>
      <w:r>
        <w:t xml:space="preserve"> </w:t>
      </w:r>
      <w:r w:rsidR="00B56ED5">
        <w:t xml:space="preserve">All patients were GMFCS IV or V and all received BP </w:t>
      </w:r>
      <w:r w:rsidR="00F30301">
        <w:t xml:space="preserve">for at least 1 year. Patients were grouped by Tanner score during treatment: prepubescent (Tanner 1-2) and postpubescent (Tanner 3-5). </w:t>
      </w:r>
      <w:r w:rsidR="00702554">
        <w:t xml:space="preserve"> </w:t>
      </w:r>
      <w:r w:rsidR="00702554" w:rsidRPr="00702554">
        <w:t>Thirteen children (7 females) with a mean age of 11.6 years (range 4.3 -18.5) at time of first BP treatment</w:t>
      </w:r>
      <w:r w:rsidR="00AF5BF4">
        <w:t xml:space="preserve"> were included</w:t>
      </w:r>
      <w:r w:rsidR="00702554">
        <w:t>.</w:t>
      </w:r>
      <w:r w:rsidR="00702554" w:rsidRPr="00702554">
        <w:rPr>
          <w:lang w:val="en-US"/>
        </w:rPr>
        <w:t xml:space="preserve"> Total observation time was 62 years (4.8 person years</w:t>
      </w:r>
      <w:r w:rsidR="00AF5BF4">
        <w:rPr>
          <w:lang w:val="en-US"/>
        </w:rPr>
        <w:t xml:space="preserve">). </w:t>
      </w:r>
      <w:r w:rsidR="00666749">
        <w:rPr>
          <w:lang w:val="en-US"/>
        </w:rPr>
        <w:t>P</w:t>
      </w:r>
      <w:r w:rsidR="007914D9" w:rsidRPr="007914D9">
        <w:rPr>
          <w:lang w:val="en-US"/>
        </w:rPr>
        <w:t>ercent change in BMD during treatment was larger in the prepubescent group, though not statistically significant.</w:t>
      </w:r>
    </w:p>
    <w:p w14:paraId="2FB4066E" w14:textId="77777777" w:rsidR="00651BF2" w:rsidRDefault="00651BF2" w:rsidP="005378C5">
      <w:pPr>
        <w:rPr>
          <w:lang w:val="en-US"/>
        </w:rPr>
      </w:pPr>
    </w:p>
    <w:p w14:paraId="58B34289" w14:textId="3836F725" w:rsidR="005378C5" w:rsidRPr="00651BF2" w:rsidRDefault="005378C5" w:rsidP="005378C5">
      <w:pPr>
        <w:rPr>
          <w:lang w:val="en-US"/>
        </w:rPr>
      </w:pPr>
      <w:r w:rsidRPr="005378C5">
        <w:t>BMD</w:t>
      </w:r>
      <w:r w:rsidR="00A150F1">
        <w:t xml:space="preserve"> was found to</w:t>
      </w:r>
      <w:r w:rsidRPr="005378C5">
        <w:t xml:space="preserve"> increase at all DXA sites for all ages and Tanner stages in response to BP.</w:t>
      </w:r>
      <w:r w:rsidRPr="005378C5">
        <w:rPr>
          <w:vertAlign w:val="superscript"/>
        </w:rPr>
        <w:t xml:space="preserve">  </w:t>
      </w:r>
      <w:r w:rsidRPr="005378C5">
        <w:t>A trend of greater BMD response to BP was noted in the prepubescent group at all DXA sites. Variability in post-treatment change in BMD was noted in both groups but varied by DXA site, and within individuals. Further study is required.</w:t>
      </w:r>
    </w:p>
    <w:p w14:paraId="39A035E2" w14:textId="77777777" w:rsidR="002B1403" w:rsidRDefault="002B1403" w:rsidP="005378C5"/>
    <w:p w14:paraId="58D3FBAD" w14:textId="6A321D69" w:rsidR="00622930" w:rsidRPr="005378C5" w:rsidRDefault="002B1403" w:rsidP="005378C5">
      <w:r>
        <w:t xml:space="preserve">Key words: </w:t>
      </w:r>
      <w:r w:rsidR="00C80E5A">
        <w:t>DXA, Tanner</w:t>
      </w:r>
      <w:r w:rsidR="009E7E63">
        <w:t xml:space="preserve">, Cerebral Palsy </w:t>
      </w:r>
    </w:p>
    <w:p w14:paraId="0A0B0ED1" w14:textId="700C5FCD" w:rsidR="00EC7892" w:rsidRPr="00EC7892" w:rsidRDefault="00EC7892" w:rsidP="005378C5">
      <w:pPr>
        <w:rPr>
          <w:lang w:val="en-US"/>
        </w:rPr>
      </w:pPr>
    </w:p>
    <w:p w14:paraId="6EE03C8A" w14:textId="77777777" w:rsidR="006D7CB2" w:rsidRDefault="006D7CB2"/>
    <w:sectPr w:rsidR="006D7CB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egreya Sans">
    <w:altName w:val="Calibri"/>
    <w:charset w:val="00"/>
    <w:family w:val="auto"/>
    <w:pitch w:val="default"/>
    <w:embedRegular r:id="rId1" w:fontKey="{91EB9BC2-F830-48F9-8538-5371BDCB63BA}"/>
    <w:embedItalic r:id="rId2" w:fontKey="{9BAB3270-EF71-4E1A-8D4E-B1F81A2655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079D8E9-136A-4324-981F-3E1B073D8E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BC02C1-6263-4001-877B-550CB22F36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2205D"/>
    <w:multiLevelType w:val="multilevel"/>
    <w:tmpl w:val="7260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3064D7"/>
    <w:multiLevelType w:val="multilevel"/>
    <w:tmpl w:val="B0145CEA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BA0A8D"/>
    <w:multiLevelType w:val="multilevel"/>
    <w:tmpl w:val="DEC237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3B2DF8"/>
    <w:multiLevelType w:val="multilevel"/>
    <w:tmpl w:val="A1C0BF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B076929"/>
    <w:multiLevelType w:val="multilevel"/>
    <w:tmpl w:val="346C9C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4572EE"/>
    <w:multiLevelType w:val="multilevel"/>
    <w:tmpl w:val="EEE42E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56809559">
    <w:abstractNumId w:val="1"/>
  </w:num>
  <w:num w:numId="2" w16cid:durableId="1239051875">
    <w:abstractNumId w:val="5"/>
  </w:num>
  <w:num w:numId="3" w16cid:durableId="1564832315">
    <w:abstractNumId w:val="3"/>
  </w:num>
  <w:num w:numId="4" w16cid:durableId="1429499844">
    <w:abstractNumId w:val="4"/>
  </w:num>
  <w:num w:numId="5" w16cid:durableId="1797527154">
    <w:abstractNumId w:val="2"/>
  </w:num>
  <w:num w:numId="6" w16cid:durableId="1693219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CB2"/>
    <w:rsid w:val="0000592B"/>
    <w:rsid w:val="0005301A"/>
    <w:rsid w:val="000678E0"/>
    <w:rsid w:val="00095F38"/>
    <w:rsid w:val="000971A9"/>
    <w:rsid w:val="000F7363"/>
    <w:rsid w:val="000F76EE"/>
    <w:rsid w:val="001056B4"/>
    <w:rsid w:val="00123544"/>
    <w:rsid w:val="00144F98"/>
    <w:rsid w:val="001754E5"/>
    <w:rsid w:val="00186E4E"/>
    <w:rsid w:val="002560B5"/>
    <w:rsid w:val="00291E06"/>
    <w:rsid w:val="002B1403"/>
    <w:rsid w:val="002B2F23"/>
    <w:rsid w:val="002C6741"/>
    <w:rsid w:val="003207E4"/>
    <w:rsid w:val="003C223E"/>
    <w:rsid w:val="0044184A"/>
    <w:rsid w:val="00445F10"/>
    <w:rsid w:val="00470D65"/>
    <w:rsid w:val="004E14A2"/>
    <w:rsid w:val="004E45D8"/>
    <w:rsid w:val="005378C5"/>
    <w:rsid w:val="005759BE"/>
    <w:rsid w:val="005927EB"/>
    <w:rsid w:val="005C02F5"/>
    <w:rsid w:val="005F18D0"/>
    <w:rsid w:val="0062204B"/>
    <w:rsid w:val="00622930"/>
    <w:rsid w:val="00651BF2"/>
    <w:rsid w:val="00664BA2"/>
    <w:rsid w:val="00666749"/>
    <w:rsid w:val="006D0879"/>
    <w:rsid w:val="006D7CB2"/>
    <w:rsid w:val="00702554"/>
    <w:rsid w:val="007914D9"/>
    <w:rsid w:val="007E2418"/>
    <w:rsid w:val="00814DA7"/>
    <w:rsid w:val="00816081"/>
    <w:rsid w:val="00844A3D"/>
    <w:rsid w:val="00892973"/>
    <w:rsid w:val="008A007D"/>
    <w:rsid w:val="00932E11"/>
    <w:rsid w:val="00975CB5"/>
    <w:rsid w:val="009E7E63"/>
    <w:rsid w:val="00A11D23"/>
    <w:rsid w:val="00A150F1"/>
    <w:rsid w:val="00A22077"/>
    <w:rsid w:val="00AC0018"/>
    <w:rsid w:val="00AF5BF4"/>
    <w:rsid w:val="00B2602C"/>
    <w:rsid w:val="00B30E93"/>
    <w:rsid w:val="00B56ED5"/>
    <w:rsid w:val="00C10DCD"/>
    <w:rsid w:val="00C34202"/>
    <w:rsid w:val="00C55843"/>
    <w:rsid w:val="00C63EBF"/>
    <w:rsid w:val="00C80E5A"/>
    <w:rsid w:val="00CB1B62"/>
    <w:rsid w:val="00CE4E19"/>
    <w:rsid w:val="00D44219"/>
    <w:rsid w:val="00E00EF2"/>
    <w:rsid w:val="00E555EA"/>
    <w:rsid w:val="00E74FEE"/>
    <w:rsid w:val="00E93F23"/>
    <w:rsid w:val="00EC0536"/>
    <w:rsid w:val="00EC7892"/>
    <w:rsid w:val="00ED0A68"/>
    <w:rsid w:val="00EE0E47"/>
    <w:rsid w:val="00EF7855"/>
    <w:rsid w:val="00F106ED"/>
    <w:rsid w:val="00F20DE7"/>
    <w:rsid w:val="00F30301"/>
    <w:rsid w:val="00F83B03"/>
    <w:rsid w:val="00FE3F09"/>
    <w:rsid w:val="00FF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EDEDF"/>
  <w15:docId w15:val="{D7C778A8-61AF-4ED6-93E7-D1EC84F2F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greya Sans" w:eastAsia="Alegreya Sans" w:hAnsi="Alegreya Sans" w:cs="Alegreya Sans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123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35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3544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37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1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1621</Characters>
  <Application>Microsoft Office Word</Application>
  <DocSecurity>0</DocSecurity>
  <Lines>13</Lines>
  <Paragraphs>3</Paragraphs>
  <ScaleCrop>false</ScaleCrop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Adjei, Chanelle</cp:lastModifiedBy>
  <cp:revision>2</cp:revision>
  <dcterms:created xsi:type="dcterms:W3CDTF">2025-07-21T21:39:00Z</dcterms:created>
  <dcterms:modified xsi:type="dcterms:W3CDTF">2025-07-21T21:39:00Z</dcterms:modified>
</cp:coreProperties>
</file>